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E124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Ph.D. in Pharmaceutical Sciences</w:t>
      </w:r>
    </w:p>
    <w:p w14:paraId="4C581B63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6B1F81CC" w14:textId="77777777" w:rsidR="00472133" w:rsidRPr="00237947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 Ph.D. in pharmaceutical sciences can be completed with an emphasis in environmental toxicology, medicinal chemistry, pharmaceutics, pharmacology, pharmacognosy, or pharmacy administration.</w:t>
      </w:r>
    </w:p>
    <w:p w14:paraId="32C37156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CREDIT HOURS: </w:t>
      </w:r>
      <w:r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5</w:t>
      </w:r>
      <w:r w:rsidR="00BE3219"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4</w:t>
      </w:r>
    </w:p>
    <w:p w14:paraId="0EDFBE65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3897ED7A" w14:textId="7AEB4FA5" w:rsidR="00472133" w:rsidRPr="00237947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Requirements for each emphasis area are given in the respective program description sections.</w:t>
      </w:r>
      <w:r w:rsidR="003D1036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</w:t>
      </w:r>
      <w:r w:rsidR="003D1036" w:rsidRPr="000C0D2F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Each emphasis area requires students to complete a minimum of 36 semester hours of course work and 18 hours of thesis.</w:t>
      </w:r>
    </w:p>
    <w:p w14:paraId="377E316B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Emphasis - </w:t>
      </w:r>
      <w:r w:rsidR="00427411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Pharmacognosy</w:t>
      </w:r>
    </w:p>
    <w:p w14:paraId="7F3AB660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0A737F48" w14:textId="77777777" w:rsidR="00EF237B" w:rsidRPr="00237947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hAnsi="Helvetica" w:cs="Helvetica Neue"/>
          <w:color w:val="595959" w:themeColor="text1" w:themeTint="A6"/>
          <w:sz w:val="24"/>
          <w:szCs w:val="24"/>
        </w:rPr>
      </w:pP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A Ph.D. in pharmaceutical sciences with emphasis in </w:t>
      </w:r>
      <w:r w:rsidR="00427411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pharmacognosy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prepares a graduate to</w:t>
      </w:r>
      <w:r w:rsidR="00BE3219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do basic research in </w:t>
      </w:r>
      <w:r w:rsidR="00BE3219" w:rsidRPr="00237947">
        <w:rPr>
          <w:rFonts w:ascii="Helvetica" w:hAnsi="Helvetica" w:cs="Helvetica Neue"/>
          <w:color w:val="595959" w:themeColor="text1" w:themeTint="A6"/>
          <w:sz w:val="24"/>
          <w:szCs w:val="24"/>
        </w:rPr>
        <w:t>the study of bioactive natural substances found in terrestrial and marine organisms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. In such research, a </w:t>
      </w:r>
      <w:r w:rsidR="003D7F4E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pharmacognosist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</w:t>
      </w:r>
      <w:r w:rsidR="003D7F4E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works in the interdisciplinary worlds of chemical structure and function relative to biological structure and function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. The field is devoted to the discovery and development of new agen</w:t>
      </w:r>
      <w:r w:rsidR="00BE3219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ts in the treatment of diseases and t</w:t>
      </w:r>
      <w:r w:rsidR="00BE3219" w:rsidRPr="00237947">
        <w:rPr>
          <w:rFonts w:ascii="Helvetica" w:hAnsi="Helvetica" w:cs="Helvetica Neue"/>
          <w:color w:val="595959" w:themeColor="text1" w:themeTint="A6"/>
          <w:sz w:val="24"/>
          <w:szCs w:val="24"/>
        </w:rPr>
        <w:t>he program prepares students for academic or research positions in universities, and industrial or government institutions.</w:t>
      </w:r>
    </w:p>
    <w:p w14:paraId="0BE6B11F" w14:textId="77777777" w:rsidR="00EF237B" w:rsidRPr="00237947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Note: For more information, refer to the student handbook</w:t>
      </w:r>
    </w:p>
    <w:p w14:paraId="2C259C13" w14:textId="77777777" w:rsidR="00472133" w:rsidRPr="00472133" w:rsidRDefault="002E0CEE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="00EF237B" w:rsidRPr="00210464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39E14604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1247DB60" w14:textId="77777777" w:rsidR="00472133" w:rsidRPr="00237947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The </w:t>
      </w:r>
      <w:r w:rsidR="00D13764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academic 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mission of the Department of </w:t>
      </w:r>
      <w:r w:rsidR="00B979E5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BioMolecular Sciences, Division of </w:t>
      </w:r>
      <w:r w:rsidR="003D7F4E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Pharmacognosy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is to apply </w:t>
      </w:r>
      <w:r w:rsidR="003D7F4E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natural products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related sciences to the teaching of professional pharmacy stud</w:t>
      </w:r>
      <w:bookmarkStart w:id="0" w:name="_GoBack"/>
      <w:bookmarkEnd w:id="0"/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ents and graduate students. The research mission of the 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lastRenderedPageBreak/>
        <w:t>department is the discovery, design, analysis, and further development of potential drugs and the discovery of potential drug targets.</w:t>
      </w:r>
    </w:p>
    <w:p w14:paraId="69B7B622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040B3B4C" w14:textId="77777777" w:rsidR="004F0517" w:rsidRPr="00237947" w:rsidRDefault="004F0517" w:rsidP="00237947">
      <w:pPr>
        <w:shd w:val="clear" w:color="auto" w:fill="F2F2F2"/>
        <w:spacing w:after="240" w:line="276" w:lineRule="auto"/>
        <w:jc w:val="left"/>
        <w:textAlignment w:val="baseline"/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</w:pPr>
      <w:r w:rsidRPr="00237947"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 xml:space="preserve">Requirements for the Ph.D. with an emphasis in Pharmacognosy include: </w:t>
      </w:r>
    </w:p>
    <w:p w14:paraId="3DEE911A" w14:textId="77777777" w:rsidR="004F0517" w:rsidRPr="00237947" w:rsidRDefault="004F0517" w:rsidP="00237947">
      <w:pPr>
        <w:shd w:val="clear" w:color="auto" w:fill="F2F2F2"/>
        <w:spacing w:after="240" w:line="276" w:lineRule="auto"/>
        <w:jc w:val="left"/>
        <w:textAlignment w:val="baseline"/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</w:pPr>
      <w:r w:rsidRPr="00237947"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>Graduate Student Survival Strategies (BMS 601) (2 hours);</w:t>
      </w:r>
    </w:p>
    <w:p w14:paraId="04416FA7" w14:textId="77777777" w:rsidR="004F0517" w:rsidRPr="00237947" w:rsidRDefault="004F0517" w:rsidP="00237947">
      <w:pPr>
        <w:shd w:val="clear" w:color="auto" w:fill="F2F2F2"/>
        <w:spacing w:after="240" w:line="276" w:lineRule="auto"/>
        <w:jc w:val="left"/>
        <w:textAlignment w:val="baseline"/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</w:pPr>
      <w:r w:rsidRPr="00237947"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 xml:space="preserve">Biosynthesis (PHCG 627) (3 hours); </w:t>
      </w:r>
    </w:p>
    <w:p w14:paraId="5D64FC5C" w14:textId="0227B5F5" w:rsidR="004F0517" w:rsidRDefault="004F0517" w:rsidP="00237947">
      <w:pPr>
        <w:shd w:val="clear" w:color="auto" w:fill="F2F2F2"/>
        <w:spacing w:after="240" w:line="276" w:lineRule="auto"/>
        <w:jc w:val="left"/>
        <w:textAlignment w:val="baseline"/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</w:pPr>
      <w:r w:rsidRPr="00237947"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 xml:space="preserve">Advanced Biochemistry (PHCG 620, or equivalent) (3 hours); </w:t>
      </w:r>
    </w:p>
    <w:p w14:paraId="487C1D8B" w14:textId="7F47B790" w:rsidR="00252598" w:rsidRPr="00237947" w:rsidRDefault="00766FFD" w:rsidP="00237947">
      <w:pPr>
        <w:shd w:val="clear" w:color="auto" w:fill="F2F2F2"/>
        <w:spacing w:after="240" w:line="276" w:lineRule="auto"/>
        <w:jc w:val="left"/>
        <w:textAlignment w:val="baseline"/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</w:pPr>
      <w:r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>500/</w:t>
      </w:r>
      <w:r w:rsidR="00F265A6"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>600/700 level</w:t>
      </w:r>
      <w:r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 xml:space="preserve"> (500 level courses require advisor approval)</w:t>
      </w:r>
      <w:r w:rsidR="00F265A6"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 xml:space="preserve"> elective courses (19 hours);</w:t>
      </w:r>
    </w:p>
    <w:p w14:paraId="06323316" w14:textId="71A9E0AD" w:rsidR="004F0517" w:rsidRPr="00237947" w:rsidRDefault="004F0517" w:rsidP="00237947">
      <w:pPr>
        <w:shd w:val="clear" w:color="auto" w:fill="F2F2F2"/>
        <w:spacing w:after="240" w:line="276" w:lineRule="auto"/>
        <w:jc w:val="left"/>
        <w:textAlignment w:val="baseline"/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</w:pPr>
      <w:r w:rsidRPr="00237947"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>Original Research Proposal (BMS 605) (1 hour)</w:t>
      </w:r>
      <w:r w:rsidR="00F265A6"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>.</w:t>
      </w:r>
    </w:p>
    <w:p w14:paraId="6C980D92" w14:textId="77777777" w:rsidR="00FF781C" w:rsidRPr="00237947" w:rsidRDefault="00FF781C" w:rsidP="00FF781C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Seminar Requirement - Students are required to register for BMS 643 (Z-grade) every semester, with the exception of those semesters in which the student presents a seminar and instead registers for BMS 641 (graded). No more than 8 seminar hours can be used toward the 54 minimum total credit hours</w:t>
      </w:r>
    </w:p>
    <w:p w14:paraId="67C5F5D4" w14:textId="77777777" w:rsidR="00472133" w:rsidRPr="00DA42A1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DA42A1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070570A3" w14:textId="76E25378" w:rsidR="00472133" w:rsidRPr="00237947" w:rsidRDefault="00D8643B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Oral/Cumulative Exam</w:t>
      </w:r>
      <w:r w:rsidR="0047213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- A student must 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design, write,</w:t>
      </w:r>
      <w:r w:rsidR="0047213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submit, and successfully defend an 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O</w:t>
      </w:r>
      <w:r w:rsidR="0047213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riginal 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</w:t>
      </w:r>
      <w:r w:rsidR="0047213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esearch 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P</w:t>
      </w:r>
      <w:r w:rsidR="0047213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roposal (ORP). Procedures for this requirement will be provided by the department</w:t>
      </w:r>
      <w:r w:rsidR="00C31ABD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.</w:t>
      </w:r>
      <w:r w:rsidR="00E4720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Students will register for BMS 605 (Original Research Proposal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-</w:t>
      </w:r>
      <w:r w:rsidR="00E4720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BioMolecular Sciences</w:t>
      </w:r>
      <w:r w:rsidR="00C31ABD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)</w:t>
      </w:r>
      <w:r w:rsidR="00E4720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in the semester they anticipate defending their ORP.</w:t>
      </w:r>
    </w:p>
    <w:p w14:paraId="11A0C4BE" w14:textId="438603B1" w:rsidR="0048451D" w:rsidRPr="00D4336D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Dissertation - A student must prepare and orally defend a dissertation based on original, independent research</w:t>
      </w:r>
      <w:r w:rsidR="00E4720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in partial fulfillment </w:t>
      </w:r>
      <w:r w:rsidR="00C31ABD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of </w:t>
      </w:r>
      <w:r w:rsidR="00E47203"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their Ph.D. degree</w:t>
      </w: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.</w:t>
      </w:r>
    </w:p>
    <w:p w14:paraId="72AF5851" w14:textId="3A218D6E" w:rsidR="00EF237B" w:rsidRDefault="008763BA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</w:t>
      </w:r>
      <w:r w:rsidR="00EF237B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GREE REQUIREMENTS AND EXPECTATIONS</w:t>
      </w:r>
    </w:p>
    <w:p w14:paraId="51A1D4C3" w14:textId="126693C2" w:rsidR="00D153E3" w:rsidRPr="00237947" w:rsidRDefault="00EF237B" w:rsidP="00B0397C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237947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Pharmacognosy graduate students must meet a high level of academic achievement to maintain eligibility. Students are expected to maintain an overall GPA of at least 3.0 (B).</w:t>
      </w:r>
    </w:p>
    <w:sectPr w:rsidR="00D153E3" w:rsidRPr="00237947" w:rsidSect="007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33"/>
    <w:rsid w:val="000A1433"/>
    <w:rsid w:val="0011467A"/>
    <w:rsid w:val="00181350"/>
    <w:rsid w:val="00237947"/>
    <w:rsid w:val="00252598"/>
    <w:rsid w:val="002E0CEE"/>
    <w:rsid w:val="002F33DB"/>
    <w:rsid w:val="00334FFE"/>
    <w:rsid w:val="003D1036"/>
    <w:rsid w:val="003D7F4E"/>
    <w:rsid w:val="00427411"/>
    <w:rsid w:val="00442F14"/>
    <w:rsid w:val="00472133"/>
    <w:rsid w:val="0048451D"/>
    <w:rsid w:val="004F0517"/>
    <w:rsid w:val="00594C06"/>
    <w:rsid w:val="006808F0"/>
    <w:rsid w:val="006E48DC"/>
    <w:rsid w:val="00745305"/>
    <w:rsid w:val="00766FFD"/>
    <w:rsid w:val="008120BC"/>
    <w:rsid w:val="008763BA"/>
    <w:rsid w:val="00910D9C"/>
    <w:rsid w:val="009737D2"/>
    <w:rsid w:val="009D57CF"/>
    <w:rsid w:val="00B0397C"/>
    <w:rsid w:val="00B8272D"/>
    <w:rsid w:val="00B979E5"/>
    <w:rsid w:val="00BA12A4"/>
    <w:rsid w:val="00BE3219"/>
    <w:rsid w:val="00C31ABD"/>
    <w:rsid w:val="00C71E8E"/>
    <w:rsid w:val="00D13764"/>
    <w:rsid w:val="00D153E3"/>
    <w:rsid w:val="00D4336D"/>
    <w:rsid w:val="00D8643B"/>
    <w:rsid w:val="00D86DE6"/>
    <w:rsid w:val="00DA42A1"/>
    <w:rsid w:val="00E06F5B"/>
    <w:rsid w:val="00E47203"/>
    <w:rsid w:val="00E751DA"/>
    <w:rsid w:val="00EA1855"/>
    <w:rsid w:val="00EF237B"/>
    <w:rsid w:val="00F265A6"/>
    <w:rsid w:val="00F666B4"/>
    <w:rsid w:val="00F817FA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0D57"/>
  <w15:docId w15:val="{F4B318ED-60DD-49DA-ABBE-D22938B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1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1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3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armacy.olemiss.edu/biomolecularsciences/gradprogram/bms-graduate-student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32CA-77CE-49C1-8069-40E182EC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Danielle Noonan</cp:lastModifiedBy>
  <cp:revision>2</cp:revision>
  <cp:lastPrinted>2016-02-05T11:19:00Z</cp:lastPrinted>
  <dcterms:created xsi:type="dcterms:W3CDTF">2022-05-17T14:47:00Z</dcterms:created>
  <dcterms:modified xsi:type="dcterms:W3CDTF">2022-05-17T14:47:00Z</dcterms:modified>
</cp:coreProperties>
</file>